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Карта контроля соблюдения требований к организации прогулки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75.0" w:type="dxa"/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контроля в течение недели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«»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«»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«»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«»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«»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V. Соблюдение требований к организации прогулки (дневной и вечерней)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Дневная прогулка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организации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структурных компонентов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Вечерняя прогулка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организации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структурных компонентов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NrnUYc1esmbxNCpkSRs7Wkh7g==">CgMxLjA4AHIhMWpMcElFQVd5d292ZGpCdXVrdUFaX3hYSTc4Ql85cGNq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