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выполнения режима прогулки</w:t>
      </w:r>
    </w:p>
    <w:tbl>
      <w:tblPr>
        <w:tblStyle w:val="Table1"/>
        <w:tblW w:w="9270.0" w:type="dxa"/>
        <w:jc w:val="left"/>
        <w:tblInd w:w="-75.0" w:type="dxa"/>
        <w:tblLayout w:type="fixed"/>
        <w:tblLook w:val="0600"/>
      </w:tblPr>
      <w:tblGrid>
        <w:gridCol w:w="4635"/>
        <w:gridCol w:w="1725"/>
        <w:gridCol w:w="1485"/>
        <w:gridCol w:w="1425"/>
        <w:tblGridChange w:id="0">
          <w:tblGrid>
            <w:gridCol w:w="4635"/>
            <w:gridCol w:w="1725"/>
            <w:gridCol w:w="1485"/>
            <w:gridCol w:w="142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Соответствует норме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Порядок одевания/раздевания детей до и после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Порядок в детских шкафчиках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одежды погоде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структуры прогулки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времени, отводимого на прогулку детей (в зависимости от возрастной группы)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XEXL51nQqm2Lu3O905cg0UtdA==">CgMxLjA4AHIhMVh5OU5zRXdiQWM3VTFZUmpfSzZRYXlnZmdQUUkwdk0x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