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Карта контроля соблюдения питьевого режима</w:t>
      </w: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-75.0" w:type="dxa"/>
        <w:tblLayout w:type="fixed"/>
        <w:tblLook w:val="0600"/>
      </w:tblPr>
      <w:tblGrid>
        <w:gridCol w:w="4470"/>
        <w:gridCol w:w="1455"/>
        <w:gridCol w:w="1935"/>
        <w:gridCol w:w="1650"/>
        <w:tblGridChange w:id="0">
          <w:tblGrid>
            <w:gridCol w:w="4470"/>
            <w:gridCol w:w="1455"/>
            <w:gridCol w:w="1935"/>
            <w:gridCol w:w="165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ФИО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отметок в тетради о регулярном получении свежей питьевой воды на кухне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питьевой воды в свободном доступе для детей в старших группах и доступность для детей всех возрастов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своевременной обработки посуды для питьевой воды (чайник, графин, стаканчики/чашки)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безопасности в группе при свободном доступе детей к питьевой воде (наличие посуды без сколов, чистота посуды)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3Bmur/B1J6LiuDA4sflfrQhbEg==">CgMxLjA4AHIhMVFTY0FMRzdfQVNqeUJfbGhOLWdKSmFpeVUwdDVqbXRB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