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дежурства детей по столовой</w:t>
      </w:r>
    </w:p>
    <w:tbl>
      <w:tblPr>
        <w:tblStyle w:val="Table1"/>
        <w:tblW w:w="9525.0" w:type="dxa"/>
        <w:jc w:val="left"/>
        <w:tblInd w:w="-75.0" w:type="dxa"/>
        <w:tblLayout w:type="fixed"/>
        <w:tblLook w:val="0600"/>
      </w:tblPr>
      <w:tblGrid>
        <w:gridCol w:w="5235"/>
        <w:gridCol w:w="1200"/>
        <w:gridCol w:w="1530"/>
        <w:gridCol w:w="1560"/>
        <w:tblGridChange w:id="0">
          <w:tblGrid>
            <w:gridCol w:w="5235"/>
            <w:gridCol w:w="1200"/>
            <w:gridCol w:w="1530"/>
            <w:gridCol w:w="156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дежурства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специальной одежды и инвентаря для дежурства: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фартуки;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колпаки;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поднос (по необходимости)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Индивидуальный подход при обучении детей дежурству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дежурства детей: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 время завтрака;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обеда;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полдника;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ужина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Положительный эмоциональный настрой детей во время дежурства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Самостоятельность выполнения действий детьми во время дежурства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P+XUN2tLSSd9j61/XhDz8tYlg==">CgMxLjA4AHIhMW1rR0RNdEFlWm01S0pWalVWc3FGYkI5bFZDZmxMd0I2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