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санитарного состояния помещения группы</w:t>
      </w:r>
    </w:p>
    <w:tbl>
      <w:tblPr>
        <w:tblStyle w:val="Table1"/>
        <w:tblW w:w="9180.0" w:type="dxa"/>
        <w:jc w:val="left"/>
        <w:tblInd w:w="-75.0" w:type="dxa"/>
        <w:tblLayout w:type="fixed"/>
        <w:tblLook w:val="0600"/>
      </w:tblPr>
      <w:tblGrid>
        <w:gridCol w:w="5235"/>
        <w:gridCol w:w="1395"/>
        <w:gridCol w:w="1185"/>
        <w:gridCol w:w="1365"/>
        <w:tblGridChange w:id="0">
          <w:tblGrid>
            <w:gridCol w:w="5235"/>
            <w:gridCol w:w="1395"/>
            <w:gridCol w:w="1185"/>
            <w:gridCol w:w="136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Своевременное проведение генеральной уборки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Игровая комната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 помещении (общая)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соблюдение графика уборки помещения, мытья игрушек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 игровых уголках, чистота игрового материала, отсутствие пыли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пыли на комнатных растениях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на подоконниках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пыли на осветительных приборах, люстрах, плафонах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уборка ковра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Спальня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 помещении (общая)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соблюдение графика уборки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загромождения в проходах и под детскими кроватками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чистого постельного белья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Общий порядок на рабочем столе педагога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на подоконниках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пыли на осветительных приборах, люстрах, плафонах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Приемная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 помещении (общая)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соблюдение графика уборки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на подоконнике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порядка в детских шкафчиках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пыли на осветительных приборах, люстрах, плафонах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Кухня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 помещении (общая)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соблюдение графика уборки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пыли на осветительных приборах, люстрах, плафонах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порядка в шкафу для посуды, отсутствие посуды со сколами, своевременная замена посуды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чистящих средств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уборка мусорных ведер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Туалет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 помещении (общая)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 соблюдение графика уборки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пыли на осветительных приборах, люстрах, плафонах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раковин, туалетов, ногомойки, горшков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чистящих средств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уборка мусорных ведер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4OBT/IKipsNNMfzhCv4XIQPQMg==">CgMxLjA4AHIhMXVwU0kxSzNaWXZycTdvT1BXQjJVb25ITEw2MXZ0WFow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