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0"/>
          <w:szCs w:val="30"/>
          <w:rtl w:val="0"/>
        </w:rPr>
        <w:t xml:space="preserve">Карта наблюдения и анализа занятия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2370"/>
        <w:gridCol w:w="3000"/>
        <w:tblGridChange w:id="0">
          <w:tblGrid>
            <w:gridCol w:w="3630"/>
            <w:gridCol w:w="2370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Ф. И. О. проверяющего: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Ф. И. О. проверяемого: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Дата посещения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Образовательная область: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Тема занятия: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Возрастная 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Количество детей: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Наличие конспекта: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Наличие дополнительного оборудования, в том числе использование ИКТ: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Цель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3135"/>
        <w:gridCol w:w="5400"/>
        <w:tblGridChange w:id="0">
          <w:tblGrid>
            <w:gridCol w:w="465"/>
            <w:gridCol w:w="3135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20" w:before="2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Этап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Комментарии экспертов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20" w:before="22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Организационный момент, мотивация на учебную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20" w:before="22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Деятельность дежурных или самообслуживание в соответствии с возрастными особенностями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Сообщение темы, целей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Занятие соответствует: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Формы и методы, используемые при организации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Физкультминутка при выполнении статичной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Интеграция образовательных областей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Индивидуальный подход в 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Соответствие темы, цели, задач возрастным особенностям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Формы и методы рефлексии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Выводы: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NR+TmukwBiW/Uo666ycnWP0iw==">CgMxLjAyCGguZ2pkZ3hzOAByITFNRFhXaENPeVhxaDQ5UGhJMEdYaU1DYnhWSF9MY1I5cw==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