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 Карта анализа работы педагога-психолога с детьми</w:t>
      </w:r>
    </w:p>
    <w:tbl>
      <w:tblPr>
        <w:tblStyle w:val="Table1"/>
        <w:tblW w:w="9795.0" w:type="dxa"/>
        <w:jc w:val="left"/>
        <w:tblInd w:w="-75.0" w:type="dxa"/>
        <w:tblLayout w:type="fixed"/>
        <w:tblLook w:val="0600"/>
      </w:tblPr>
      <w:tblGrid>
        <w:gridCol w:w="2685"/>
        <w:gridCol w:w="4305"/>
        <w:gridCol w:w="1275"/>
        <w:gridCol w:w="585"/>
        <w:gridCol w:w="945"/>
        <w:tblGridChange w:id="0">
          <w:tblGrid>
            <w:gridCol w:w="2685"/>
            <w:gridCol w:w="4305"/>
            <w:gridCol w:w="1275"/>
            <w:gridCol w:w="585"/>
            <w:gridCol w:w="945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и время проведения: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Возрастная группа: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педагога-психолога: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 И. О. проверяющего: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Количество детей: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Тема: 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Программное содержание:  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оценивания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Частично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Психологический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анализ деятельности детей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Активная позиция детей во время работы, удовлетворительное самочувствие детей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Психологическая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оценка работы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Уровень организации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психологической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деятельности: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before="28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психологический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настрой;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использование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игровых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организационных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моментов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280" w:before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Соотношение монологического и диалогического общения между детьми и педагогом во время работы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форм и методов работы возрастным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психофизическим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особенностям детей: педагог-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учитывает индивидуальные и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психологические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особенности детей при проведении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психологической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деятельности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Психологический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анализ деятельности педагога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психологической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дистанции между педагогом-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психологом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и детьми («над», «под», «рядом», «вместе»)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Коммуникабельность – умение устанавливать контакт с группой и каждым ребенком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временного регламента занятия возрастной категории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рефлексии (обратной связи) – насколько интересно для детей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Подготовленность к занятию: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spacing w:after="0" w:before="28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степень овладения содержанием и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психологической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целью занятия;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spacing w:after="0"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внутренняя готовность к проведению занятия: активность, целеустремленность, оптимизм,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находчивость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spacing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рабочее самочувствие в начале занятия и в процессе его проведения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80" w:before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280" w:before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before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Выводы: &lt;...&gt;</w:t>
      </w:r>
      <w:r w:rsidDel="00000000" w:rsidR="00000000" w:rsidRPr="00000000">
        <w:rPr>
          <w:rtl w:val="0"/>
        </w:rPr>
      </w:r>
    </w:p>
    <w:tbl>
      <w:tblPr>
        <w:tblStyle w:val="Table2"/>
        <w:tblW w:w="7200.0" w:type="dxa"/>
        <w:jc w:val="left"/>
        <w:tblInd w:w="-75.0" w:type="dxa"/>
        <w:tblLayout w:type="fixed"/>
        <w:tblLook w:val="0600"/>
      </w:tblPr>
      <w:tblGrid>
        <w:gridCol w:w="1980"/>
        <w:gridCol w:w="900"/>
        <w:gridCol w:w="1440"/>
        <w:gridCol w:w="1440"/>
        <w:gridCol w:w="1440"/>
        <w:tblGridChange w:id="0">
          <w:tblGrid>
            <w:gridCol w:w="1980"/>
            <w:gridCol w:w="900"/>
            <w:gridCol w:w="1440"/>
            <w:gridCol w:w="1440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Ознакомлен: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Педагог-псиолог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pHvBuOKDXMuDceJzfb7srO6tvQ==">CgMxLjA4AHIhMTdrOW83UFpwdE5ySTV4N3VWZVJ2ZFBYakloTkFXYjFx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