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color w:val="000000"/>
          <w:sz w:val="30"/>
          <w:szCs w:val="30"/>
        </w:rPr>
      </w:pPr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Карта анализа уровня предметно-педагогической ИКТ-компетентности педагогов</w:t>
      </w: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-75.0" w:type="dxa"/>
        <w:tblLayout w:type="fixed"/>
        <w:tblLook w:val="0600"/>
      </w:tblPr>
      <w:tblGrid>
        <w:gridCol w:w="7410"/>
        <w:gridCol w:w="2400"/>
        <w:tblGridChange w:id="0">
          <w:tblGrid>
            <w:gridCol w:w="7410"/>
            <w:gridCol w:w="2400"/>
          </w:tblGrid>
        </w:tblGridChange>
      </w:tblGrid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анализа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Отметка о выполнении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 Наличие авторских цифровых образовательных ресурсов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 Качество цифрового образовательного ресурса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 Систематическое использование цифровых образовательных ресурсов в образовательном процессе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 Наличие авторских цифровых образовательных ресурсов, прошедших экспертизу экспертного совета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 Участие педагога в конкурсах профессионального мастерства по использованию ИКТ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Ключ для обработки результатов: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Оптимальный уровень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педагог создает качественные авторские цифровые образовательные ресурсы с использованием компьютерных программ (Мicrosoft Word, Мicrosoft Power Point, Windows Movie Maker). Систематически использует их в своей работе. Имеет авторские цифровые образовательные ресурсы, прошедшие экспертизу экспертного совета.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Допустимый уровень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педагог обладает навыками поиска цифровых образовательных ресурсов в интернете и адаптирования их под задачи образовательной программы. Использует в работе эпизодически.</w:t>
      </w:r>
    </w:p>
    <w:p w:rsidR="00000000" w:rsidDel="00000000" w:rsidP="00000000" w:rsidRDefault="00000000" w:rsidRPr="00000000" w14:paraId="00000011">
      <w:pPr>
        <w:spacing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Низкий уровень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педагог редко использует цифровые образовательные ресурсы в работе.</w:t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inu8T4l0XMB+AB9ur6PRL/pwNw==">CgMxLjA4AHIhMUk0N05HcHZydnppRWZ6eWpJVmpqUW1jQ056TGRXaTF3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