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контроля оборудования уголков уединения в группах</w:t>
      </w:r>
    </w:p>
    <w:tbl>
      <w:tblPr>
        <w:tblStyle w:val="Table1"/>
        <w:tblW w:w="9405.0" w:type="dxa"/>
        <w:jc w:val="left"/>
        <w:tblInd w:w="-75.0" w:type="dxa"/>
        <w:tblLayout w:type="fixed"/>
        <w:tblLook w:val="0600"/>
      </w:tblPr>
      <w:tblGrid>
        <w:gridCol w:w="5235"/>
        <w:gridCol w:w="1515"/>
        <w:gridCol w:w="1260"/>
        <w:gridCol w:w="1395"/>
        <w:tblGridChange w:id="0">
          <w:tblGrid>
            <w:gridCol w:w="5235"/>
            <w:gridCol w:w="1515"/>
            <w:gridCol w:w="1260"/>
            <w:gridCol w:w="1395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проверки: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Группа: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Ф.И.О. педагога: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Проверку проводил: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контроля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оценки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Выполняется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Частично соответствует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Не соответствует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Расположение уголка уединения в группе: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before="28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рациональность;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доступность;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мобильность;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безопасность;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изолированность от других зон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Оформление: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spacing w:after="0" w:before="28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эстетичность;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after="0"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оригинальность в подборе материалов;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after="0"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возможность вариативного использования;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материалов, игр, игрушек для снятия психоэмоционального напряжения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Учет возрастных особенностей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Целесообразное использование уголка уединения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VeQ02zoALc165jU312BvDUXd+g==">CgMxLjA4AHIhMWJ6a2M4eTBERkZfNWgzV1lXOFA1S3BPNkNqWHhFa0pp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