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Карта контроля маркировки игровой среды во всех группах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6198"/>
        <w:gridCol w:w="744"/>
        <w:gridCol w:w="745"/>
        <w:gridCol w:w="745"/>
        <w:gridCol w:w="745"/>
        <w:tblGridChange w:id="0">
          <w:tblGrid>
            <w:gridCol w:w="6198"/>
            <w:gridCol w:w="744"/>
            <w:gridCol w:w="745"/>
            <w:gridCol w:w="745"/>
            <w:gridCol w:w="74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контроля в течение недели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в группе маркеров для зонирования центров детской активности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детьми стульев, столов, стеллажей, мягких модулей в качестве маркеров игрового пространства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маркеров возрасту детей (картинки, подписи, схемы)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74tzzPBfEs/Xz5Rp4Y5v10J0A==">CgMxLjA4AHIhMWJqcnZrR2w3TmNjTUg2di1oWHczbnVzX2xmdlB5cWhT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